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FA" w:rsidRPr="00A64DFA" w:rsidRDefault="00A64DFA" w:rsidP="00A64DFA">
      <w:pPr>
        <w:spacing w:after="150" w:line="450" w:lineRule="atLeast"/>
        <w:jc w:val="both"/>
        <w:textAlignment w:val="baseline"/>
        <w:outlineLvl w:val="0"/>
        <w:rPr>
          <w:rFonts w:ascii="Lato" w:eastAsia="Times New Roman" w:hAnsi="Lato" w:cs="Times New Roman"/>
          <w:color w:val="010101"/>
          <w:kern w:val="36"/>
          <w:sz w:val="33"/>
          <w:szCs w:val="33"/>
          <w:lang w:eastAsia="ru-RU"/>
        </w:rPr>
      </w:pPr>
      <w:r w:rsidRPr="00A64DFA">
        <w:rPr>
          <w:rFonts w:ascii="Lato" w:eastAsia="Times New Roman" w:hAnsi="Lato" w:cs="Times New Roman"/>
          <w:color w:val="010101"/>
          <w:kern w:val="36"/>
          <w:sz w:val="33"/>
          <w:szCs w:val="33"/>
          <w:lang w:eastAsia="ru-RU"/>
        </w:rPr>
        <w:t>Уровни террористической опасности</w:t>
      </w:r>
    </w:p>
    <w:p w:rsidR="00A64DFA" w:rsidRPr="00A64DFA" w:rsidRDefault="00A64DFA" w:rsidP="00A64DFA">
      <w:pPr>
        <w:spacing w:after="150" w:line="240" w:lineRule="auto"/>
        <w:jc w:val="both"/>
        <w:textAlignment w:val="baseline"/>
        <w:rPr>
          <w:rFonts w:ascii="Lato" w:eastAsia="Times New Roman" w:hAnsi="Lato" w:cs="Times New Roman"/>
          <w:color w:val="000000"/>
          <w:sz w:val="27"/>
          <w:szCs w:val="27"/>
          <w:lang w:eastAsia="ru-RU"/>
        </w:rPr>
      </w:pPr>
      <w:r w:rsidRPr="00A64DFA">
        <w:rPr>
          <w:rFonts w:ascii="Lato" w:eastAsia="Times New Roman" w:hAnsi="Lato" w:cs="Times New Roman"/>
          <w:noProof/>
          <w:color w:val="000000"/>
          <w:sz w:val="27"/>
          <w:szCs w:val="27"/>
          <w:lang w:eastAsia="ru-RU"/>
        </w:rPr>
        <w:drawing>
          <wp:inline distT="0" distB="0" distL="0" distR="0" wp14:anchorId="7736A994" wp14:editId="7B7C6F10">
            <wp:extent cx="2857500" cy="1908175"/>
            <wp:effectExtent l="0" t="0" r="0" b="0"/>
            <wp:docPr id="1" name="Рисунок 1"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вни террористической опасно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8175"/>
                    </a:xfrm>
                    <a:prstGeom prst="rect">
                      <a:avLst/>
                    </a:prstGeom>
                    <a:noFill/>
                    <a:ln>
                      <a:noFill/>
                    </a:ln>
                  </pic:spPr>
                </pic:pic>
              </a:graphicData>
            </a:graphic>
          </wp:inline>
        </w:drawing>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color w:val="000000"/>
          <w:sz w:val="26"/>
          <w:szCs w:val="26"/>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b/>
          <w:bCs/>
          <w:color w:val="000000"/>
          <w:sz w:val="26"/>
          <w:szCs w:val="26"/>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b/>
          <w:bCs/>
          <w:color w:val="000000"/>
          <w:sz w:val="26"/>
          <w:szCs w:val="26"/>
          <w:lang w:eastAsia="ru-RU"/>
        </w:rPr>
        <w:t>а) повышенный ("синий")</w:t>
      </w:r>
      <w:r w:rsidRPr="00A64DFA">
        <w:rPr>
          <w:rFonts w:ascii="Lato" w:eastAsia="Times New Roman" w:hAnsi="Lato" w:cs="Times New Roman"/>
          <w:color w:val="000000"/>
          <w:sz w:val="26"/>
          <w:szCs w:val="26"/>
          <w:lang w:eastAsia="ru-RU"/>
        </w:rPr>
        <w:t> - при наличии требующей подтверждения информации о реальной возможности совершения террористического акта;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b/>
          <w:bCs/>
          <w:color w:val="000000"/>
          <w:sz w:val="26"/>
          <w:szCs w:val="26"/>
          <w:lang w:eastAsia="ru-RU"/>
        </w:rPr>
        <w:t>б) высокий ("желтый")</w:t>
      </w:r>
      <w:r w:rsidRPr="00A64DFA">
        <w:rPr>
          <w:rFonts w:ascii="Lato" w:eastAsia="Times New Roman" w:hAnsi="Lato" w:cs="Times New Roman"/>
          <w:color w:val="000000"/>
          <w:sz w:val="26"/>
          <w:szCs w:val="26"/>
          <w:lang w:eastAsia="ru-RU"/>
        </w:rPr>
        <w:t> - при наличии подтвержденной информации о реальной возможности совершения террористического акта;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b/>
          <w:bCs/>
          <w:color w:val="000000"/>
          <w:sz w:val="26"/>
          <w:szCs w:val="26"/>
          <w:lang w:eastAsia="ru-RU"/>
        </w:rPr>
        <w:t>в) критический ("красный")</w:t>
      </w:r>
      <w:r w:rsidRPr="00A64DFA">
        <w:rPr>
          <w:rFonts w:ascii="Lato" w:eastAsia="Times New Roman" w:hAnsi="Lato" w:cs="Times New Roman"/>
          <w:color w:val="000000"/>
          <w:sz w:val="26"/>
          <w:szCs w:val="26"/>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color w:val="000000"/>
          <w:sz w:val="26"/>
          <w:szCs w:val="26"/>
          <w:lang w:eastAsia="ru-RU"/>
        </w:rPr>
        <w:t xml:space="preserve">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w:t>
      </w:r>
      <w:r w:rsidRPr="00A64DFA">
        <w:rPr>
          <w:rFonts w:ascii="Lato" w:eastAsia="Times New Roman" w:hAnsi="Lato" w:cs="Times New Roman"/>
          <w:color w:val="000000"/>
          <w:sz w:val="26"/>
          <w:szCs w:val="26"/>
          <w:lang w:eastAsia="ru-RU"/>
        </w:rPr>
        <w:lastRenderedPageBreak/>
        <w:t>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color w:val="000000"/>
          <w:sz w:val="26"/>
          <w:szCs w:val="26"/>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color w:val="000000"/>
          <w:sz w:val="26"/>
          <w:szCs w:val="26"/>
          <w:lang w:eastAsia="ru-RU"/>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5" w:anchor="sub_1009" w:history="1">
        <w:r w:rsidRPr="00A64DFA">
          <w:rPr>
            <w:rFonts w:ascii="Lato" w:eastAsia="Times New Roman" w:hAnsi="Lato" w:cs="Times New Roman"/>
            <w:color w:val="0000FF"/>
            <w:sz w:val="26"/>
            <w:szCs w:val="26"/>
            <w:u w:val="single"/>
            <w:bdr w:val="none" w:sz="0" w:space="0" w:color="auto" w:frame="1"/>
            <w:lang w:eastAsia="ru-RU"/>
          </w:rPr>
          <w:t>пунктом 9</w:t>
        </w:r>
      </w:hyperlink>
      <w:r w:rsidRPr="00A64DFA">
        <w:rPr>
          <w:rFonts w:ascii="Lato" w:eastAsia="Times New Roman" w:hAnsi="Lato" w:cs="Times New Roman"/>
          <w:color w:val="000000"/>
          <w:sz w:val="26"/>
          <w:szCs w:val="26"/>
          <w:lang w:eastAsia="ru-RU"/>
        </w:rPr>
        <w:t> настоящего Порядка.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color w:val="000000"/>
          <w:sz w:val="26"/>
          <w:szCs w:val="26"/>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color w:val="000000"/>
          <w:sz w:val="26"/>
          <w:szCs w:val="26"/>
          <w:lang w:eastAsia="ru-RU"/>
        </w:rPr>
        <w:t xml:space="preserve">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w:t>
      </w:r>
      <w:r w:rsidRPr="00A64DFA">
        <w:rPr>
          <w:rFonts w:ascii="Lato" w:eastAsia="Times New Roman" w:hAnsi="Lato" w:cs="Times New Roman"/>
          <w:color w:val="000000"/>
          <w:sz w:val="26"/>
          <w:szCs w:val="26"/>
          <w:lang w:eastAsia="ru-RU"/>
        </w:rPr>
        <w:lastRenderedPageBreak/>
        <w:t>Федерации (объекты), в пределах которых (на которых) он устанавливается, и перечень дополнительных мер, предусмотренных </w:t>
      </w:r>
      <w:hyperlink r:id="rId6" w:anchor="sub_1009" w:history="1">
        <w:r w:rsidRPr="00A64DFA">
          <w:rPr>
            <w:rFonts w:ascii="Lato" w:eastAsia="Times New Roman" w:hAnsi="Lato" w:cs="Times New Roman"/>
            <w:color w:val="0000FF"/>
            <w:sz w:val="26"/>
            <w:szCs w:val="26"/>
            <w:u w:val="single"/>
            <w:bdr w:val="none" w:sz="0" w:space="0" w:color="auto" w:frame="1"/>
            <w:lang w:eastAsia="ru-RU"/>
          </w:rPr>
          <w:t>пунктом 9</w:t>
        </w:r>
      </w:hyperlink>
      <w:r w:rsidRPr="00A64DFA">
        <w:rPr>
          <w:rFonts w:ascii="Lato" w:eastAsia="Times New Roman" w:hAnsi="Lato" w:cs="Times New Roman"/>
          <w:color w:val="000000"/>
          <w:sz w:val="26"/>
          <w:szCs w:val="26"/>
          <w:lang w:eastAsia="ru-RU"/>
        </w:rPr>
        <w:t> настоящего Порядка.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color w:val="000000"/>
          <w:sz w:val="26"/>
          <w:szCs w:val="26"/>
          <w:lang w:eastAsia="ru-RU"/>
        </w:rPr>
        <w:t>Уровень террористической опасности может устанавливаться на срок не более 15 суток.</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color w:val="000000"/>
          <w:sz w:val="26"/>
          <w:szCs w:val="26"/>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b/>
          <w:bCs/>
          <w:color w:val="000000"/>
          <w:sz w:val="26"/>
          <w:szCs w:val="26"/>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b/>
          <w:bCs/>
          <w:color w:val="000000"/>
          <w:sz w:val="26"/>
          <w:szCs w:val="26"/>
          <w:lang w:eastAsia="ru-RU"/>
        </w:rPr>
        <w:t>а) при повышенном ("синем") уровне террористической опасности: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внеплановые мероприятия по проверке информации о возможном совершении террористического акта;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lastRenderedPageBreak/>
        <w:t>-</w:t>
      </w:r>
      <w:r w:rsidRPr="00A64DFA">
        <w:rPr>
          <w:rFonts w:ascii="Lato" w:eastAsia="Times New Roman" w:hAnsi="Lato" w:cs="Times New Roman"/>
          <w:color w:val="000000"/>
          <w:sz w:val="26"/>
          <w:szCs w:val="26"/>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bookmarkStart w:id="0" w:name="_GoBack"/>
      <w:bookmarkEnd w:id="0"/>
      <w:r w:rsidRPr="00A64DFA">
        <w:rPr>
          <w:rFonts w:ascii="Lato" w:eastAsia="Times New Roman" w:hAnsi="Lato" w:cs="Times New Roman"/>
          <w:color w:val="000000"/>
          <w:sz w:val="26"/>
          <w:szCs w:val="26"/>
          <w:lang w:eastAsia="ru-RU"/>
        </w:rPr>
        <w:t>своевременное информирование населения о том, как вести себя в условиях угрозы совершения террористического акта;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b/>
          <w:bCs/>
          <w:color w:val="000000"/>
          <w:sz w:val="26"/>
          <w:szCs w:val="26"/>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 xml:space="preserve">проверка готовности персонала и подразделений потенциальных объектов террористических посягательств, осуществляющих функции по локализации </w:t>
      </w:r>
      <w:r w:rsidRPr="00A64DFA">
        <w:rPr>
          <w:rFonts w:ascii="Lato" w:eastAsia="Times New Roman" w:hAnsi="Lato" w:cs="Times New Roman"/>
          <w:color w:val="000000"/>
          <w:sz w:val="26"/>
          <w:szCs w:val="26"/>
          <w:lang w:eastAsia="ru-RU"/>
        </w:rPr>
        <w:lastRenderedPageBreak/>
        <w:t>кризисных ситуаций, и отработка их возможных действий по пресечению террористического акта и спасению людей;</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перевод соответствующих медицинских организаций в режим повышенной готовности;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b/>
          <w:bCs/>
          <w:color w:val="000000"/>
          <w:sz w:val="26"/>
          <w:szCs w:val="26"/>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приведение в состояние готовности группировки сил и средств, созданной для проведения контртеррористической операции;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перевод соответствующих медицинских организаций в режим чрезвычайной ситуации;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усиление охраны наиболее вероятных объектов террористических посягательств;</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w:t>
      </w:r>
      <w:r w:rsidRPr="00A64DFA">
        <w:rPr>
          <w:rFonts w:ascii="Lato" w:eastAsia="Times New Roman" w:hAnsi="Lato" w:cs="Times New Roman"/>
          <w:color w:val="000000"/>
          <w:sz w:val="26"/>
          <w:szCs w:val="26"/>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lastRenderedPageBreak/>
        <w:t>-</w:t>
      </w:r>
      <w:r w:rsidRPr="00A64DFA">
        <w:rPr>
          <w:rFonts w:ascii="Lato" w:eastAsia="Times New Roman" w:hAnsi="Lato" w:cs="Times New Roman"/>
          <w:color w:val="000000"/>
          <w:sz w:val="26"/>
          <w:szCs w:val="26"/>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A64DFA" w:rsidRPr="00A64DFA" w:rsidRDefault="00A64DFA" w:rsidP="00A64DFA">
      <w:pPr>
        <w:spacing w:after="0" w:line="360" w:lineRule="auto"/>
        <w:ind w:firstLine="709"/>
        <w:jc w:val="both"/>
        <w:textAlignment w:val="baseline"/>
        <w:rPr>
          <w:rFonts w:ascii="Lato" w:eastAsia="Times New Roman" w:hAnsi="Lato" w:cs="Times New Roman"/>
          <w:color w:val="000000"/>
          <w:sz w:val="26"/>
          <w:szCs w:val="26"/>
          <w:lang w:eastAsia="ru-RU"/>
        </w:rPr>
      </w:pPr>
      <w:r w:rsidRPr="00A64DFA">
        <w:rPr>
          <w:rFonts w:ascii="Lato" w:eastAsia="Times New Roman" w:hAnsi="Lato" w:cs="Times New Roman"/>
          <w:color w:val="000000"/>
          <w:sz w:val="26"/>
          <w:szCs w:val="26"/>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693697" w:rsidRDefault="00693697" w:rsidP="00A64DFA">
      <w:pPr>
        <w:jc w:val="both"/>
      </w:pPr>
    </w:p>
    <w:sectPr w:rsidR="00693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FA"/>
    <w:rsid w:val="00693697"/>
    <w:rsid w:val="00A6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02DB"/>
  <w15:chartTrackingRefBased/>
  <w15:docId w15:val="{96F8A390-C4B6-4E1E-A208-581BAF50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0343">
      <w:bodyDiv w:val="1"/>
      <w:marLeft w:val="0"/>
      <w:marRight w:val="0"/>
      <w:marTop w:val="0"/>
      <w:marBottom w:val="0"/>
      <w:divBdr>
        <w:top w:val="none" w:sz="0" w:space="0" w:color="auto"/>
        <w:left w:val="none" w:sz="0" w:space="0" w:color="auto"/>
        <w:bottom w:val="none" w:sz="0" w:space="0" w:color="auto"/>
        <w:right w:val="none" w:sz="0" w:space="0" w:color="auto"/>
      </w:divBdr>
      <w:divsChild>
        <w:div w:id="1652446461">
          <w:marLeft w:val="0"/>
          <w:marRight w:val="450"/>
          <w:marTop w:val="150"/>
          <w:marBottom w:val="150"/>
          <w:divBdr>
            <w:top w:val="none" w:sz="0" w:space="0" w:color="auto"/>
            <w:left w:val="none" w:sz="0" w:space="0" w:color="auto"/>
            <w:bottom w:val="none" w:sz="0" w:space="0" w:color="auto"/>
            <w:right w:val="none" w:sz="0" w:space="0" w:color="auto"/>
          </w:divBdr>
        </w:div>
        <w:div w:id="581568899">
          <w:marLeft w:val="0"/>
          <w:marRight w:val="0"/>
          <w:marTop w:val="0"/>
          <w:marBottom w:val="0"/>
          <w:divBdr>
            <w:top w:val="none" w:sz="0" w:space="0" w:color="auto"/>
            <w:left w:val="none" w:sz="0" w:space="0" w:color="auto"/>
            <w:bottom w:val="none" w:sz="0" w:space="0" w:color="auto"/>
            <w:right w:val="none" w:sz="0" w:space="0" w:color="auto"/>
          </w:divBdr>
          <w:divsChild>
            <w:div w:id="1142117870">
              <w:marLeft w:val="0"/>
              <w:marRight w:val="0"/>
              <w:marTop w:val="0"/>
              <w:marBottom w:val="0"/>
              <w:divBdr>
                <w:top w:val="none" w:sz="0" w:space="0" w:color="auto"/>
                <w:left w:val="none" w:sz="0" w:space="0" w:color="auto"/>
                <w:bottom w:val="none" w:sz="0" w:space="0" w:color="auto"/>
                <w:right w:val="none" w:sz="0" w:space="0" w:color="auto"/>
              </w:divBdr>
              <w:divsChild>
                <w:div w:id="344790479">
                  <w:marLeft w:val="0"/>
                  <w:marRight w:val="0"/>
                  <w:marTop w:val="0"/>
                  <w:marBottom w:val="0"/>
                  <w:divBdr>
                    <w:top w:val="none" w:sz="0" w:space="0" w:color="auto"/>
                    <w:left w:val="none" w:sz="0" w:space="0" w:color="auto"/>
                    <w:bottom w:val="none" w:sz="0" w:space="0" w:color="auto"/>
                    <w:right w:val="none" w:sz="0" w:space="0" w:color="auto"/>
                  </w:divBdr>
                  <w:divsChild>
                    <w:div w:id="61759712">
                      <w:marLeft w:val="0"/>
                      <w:marRight w:val="0"/>
                      <w:marTop w:val="0"/>
                      <w:marBottom w:val="0"/>
                      <w:divBdr>
                        <w:top w:val="none" w:sz="0" w:space="0" w:color="auto"/>
                        <w:left w:val="none" w:sz="0" w:space="0" w:color="auto"/>
                        <w:bottom w:val="none" w:sz="0" w:space="0" w:color="auto"/>
                        <w:right w:val="none" w:sz="0" w:space="0" w:color="auto"/>
                      </w:divBdr>
                      <w:divsChild>
                        <w:div w:id="1256018382">
                          <w:marLeft w:val="0"/>
                          <w:marRight w:val="0"/>
                          <w:marTop w:val="0"/>
                          <w:marBottom w:val="0"/>
                          <w:divBdr>
                            <w:top w:val="none" w:sz="0" w:space="0" w:color="auto"/>
                            <w:left w:val="none" w:sz="0" w:space="0" w:color="auto"/>
                            <w:bottom w:val="none" w:sz="0" w:space="0" w:color="auto"/>
                            <w:right w:val="none" w:sz="0" w:space="0" w:color="auto"/>
                          </w:divBdr>
                          <w:divsChild>
                            <w:div w:id="504052772">
                              <w:marLeft w:val="0"/>
                              <w:marRight w:val="300"/>
                              <w:marTop w:val="75"/>
                              <w:marBottom w:val="150"/>
                              <w:divBdr>
                                <w:top w:val="none" w:sz="0" w:space="0" w:color="auto"/>
                                <w:left w:val="none" w:sz="0" w:space="0" w:color="auto"/>
                                <w:bottom w:val="none" w:sz="0" w:space="0" w:color="auto"/>
                                <w:right w:val="none" w:sz="0" w:space="0" w:color="auto"/>
                              </w:divBdr>
                            </w:div>
                          </w:divsChild>
                        </w:div>
                        <w:div w:id="1432320081">
                          <w:marLeft w:val="0"/>
                          <w:marRight w:val="0"/>
                          <w:marTop w:val="0"/>
                          <w:marBottom w:val="0"/>
                          <w:divBdr>
                            <w:top w:val="none" w:sz="0" w:space="0" w:color="auto"/>
                            <w:left w:val="none" w:sz="0" w:space="0" w:color="auto"/>
                            <w:bottom w:val="none" w:sz="0" w:space="0" w:color="auto"/>
                            <w:right w:val="none" w:sz="0" w:space="0" w:color="auto"/>
                          </w:divBdr>
                          <w:divsChild>
                            <w:div w:id="2108890196">
                              <w:marLeft w:val="0"/>
                              <w:marRight w:val="0"/>
                              <w:marTop w:val="0"/>
                              <w:marBottom w:val="0"/>
                              <w:divBdr>
                                <w:top w:val="none" w:sz="0" w:space="0" w:color="auto"/>
                                <w:left w:val="none" w:sz="0" w:space="0" w:color="auto"/>
                                <w:bottom w:val="none" w:sz="0" w:space="0" w:color="auto"/>
                                <w:right w:val="none" w:sz="0" w:space="0" w:color="auto"/>
                              </w:divBdr>
                              <w:divsChild>
                                <w:div w:id="21345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2022-04-13T06:34:00Z</dcterms:created>
  <dcterms:modified xsi:type="dcterms:W3CDTF">2022-04-13T06:37:00Z</dcterms:modified>
</cp:coreProperties>
</file>